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2D" w:rsidRDefault="00D37F2D" w:rsidP="00341F3D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>«ЗАТВЕРДЖЕНО»</w:t>
      </w:r>
    </w:p>
    <w:p w:rsidR="00D37F2D" w:rsidRPr="00587320" w:rsidRDefault="00D37F2D" w:rsidP="00341F3D">
      <w:pPr>
        <w:jc w:val="right"/>
        <w:rPr>
          <w:b/>
          <w:lang w:val="uk-UA"/>
        </w:rPr>
      </w:pPr>
      <w:r w:rsidRPr="00587320">
        <w:rPr>
          <w:b/>
          <w:lang w:val="uk-UA"/>
        </w:rPr>
        <w:t>загальними зборами акціонерів</w:t>
      </w:r>
    </w:p>
    <w:p w:rsidR="00D37F2D" w:rsidRPr="00587320" w:rsidRDefault="00D37F2D" w:rsidP="00341F3D">
      <w:pPr>
        <w:jc w:val="right"/>
        <w:rPr>
          <w:b/>
          <w:bCs/>
        </w:rPr>
      </w:pPr>
      <w:r w:rsidRPr="00587320">
        <w:rPr>
          <w:b/>
          <w:bCs/>
        </w:rPr>
        <w:t>ПУБЛІЧНОГО АКЦІОНЕРНОГО ТОВАРИСТВА</w:t>
      </w:r>
    </w:p>
    <w:p w:rsidR="00D37F2D" w:rsidRDefault="00D37F2D" w:rsidP="00341F3D">
      <w:pPr>
        <w:jc w:val="right"/>
        <w:rPr>
          <w:b/>
          <w:lang w:val="uk-UA"/>
        </w:rPr>
      </w:pPr>
      <w:r w:rsidRPr="00587320">
        <w:rPr>
          <w:b/>
          <w:lang w:val="uk-UA"/>
        </w:rPr>
        <w:t>«ВУГЛЕГІРСЬКИЙ ЕКСПЕРИМЕНТАЛЬНИЙ КОМБІКОРМОВИЙ</w:t>
      </w:r>
      <w:r>
        <w:rPr>
          <w:b/>
          <w:lang w:val="uk-UA"/>
        </w:rPr>
        <w:t xml:space="preserve"> ЗАВОД</w:t>
      </w:r>
      <w:r w:rsidRPr="00CE5615">
        <w:rPr>
          <w:b/>
          <w:lang w:val="uk-UA"/>
        </w:rPr>
        <w:t>»</w:t>
      </w:r>
    </w:p>
    <w:p w:rsidR="00D37F2D" w:rsidRDefault="00D37F2D" w:rsidP="00341F3D">
      <w:pPr>
        <w:jc w:val="right"/>
        <w:rPr>
          <w:b/>
          <w:lang w:val="uk-UA"/>
        </w:rPr>
      </w:pPr>
      <w:r>
        <w:rPr>
          <w:b/>
          <w:lang w:val="uk-UA"/>
        </w:rPr>
        <w:t>Протокол №</w:t>
      </w:r>
      <w:r>
        <w:rPr>
          <w:b/>
          <w:lang w:val="uk-UA"/>
        </w:rPr>
        <w:t>1</w:t>
      </w:r>
      <w:r>
        <w:rPr>
          <w:b/>
          <w:lang w:val="uk-UA"/>
        </w:rPr>
        <w:t xml:space="preserve"> від 2</w:t>
      </w:r>
      <w:r>
        <w:rPr>
          <w:b/>
          <w:lang w:val="uk-UA"/>
        </w:rPr>
        <w:t>4</w:t>
      </w:r>
      <w:r>
        <w:rPr>
          <w:b/>
          <w:lang w:val="uk-UA"/>
        </w:rPr>
        <w:t>квітня 2016 року</w:t>
      </w:r>
    </w:p>
    <w:p w:rsidR="00D37F2D" w:rsidRDefault="00D37F2D" w:rsidP="00341F3D">
      <w:pPr>
        <w:jc w:val="right"/>
        <w:rPr>
          <w:b/>
          <w:lang w:val="uk-UA"/>
        </w:rPr>
      </w:pPr>
      <w:r>
        <w:rPr>
          <w:b/>
          <w:lang w:val="uk-UA"/>
        </w:rPr>
        <w:t>Голова Загальних зборів</w:t>
      </w:r>
    </w:p>
    <w:p w:rsidR="00D37F2D" w:rsidRDefault="00D37F2D" w:rsidP="00341F3D">
      <w:pPr>
        <w:jc w:val="right"/>
        <w:rPr>
          <w:b/>
          <w:lang w:val="uk-UA"/>
        </w:rPr>
      </w:pPr>
    </w:p>
    <w:p w:rsidR="00D37F2D" w:rsidRPr="00CE5615" w:rsidRDefault="00D37F2D" w:rsidP="00341F3D">
      <w:pPr>
        <w:jc w:val="right"/>
        <w:rPr>
          <w:rStyle w:val="a3"/>
          <w:b w:val="0"/>
          <w:lang w:val="uk-UA"/>
        </w:rPr>
      </w:pPr>
      <w:r>
        <w:rPr>
          <w:b/>
          <w:lang w:val="uk-UA"/>
        </w:rPr>
        <w:t xml:space="preserve">________________________ </w:t>
      </w:r>
      <w:r w:rsidR="00341F3D">
        <w:rPr>
          <w:b/>
          <w:lang w:val="uk-UA"/>
        </w:rPr>
        <w:t>І.О. Марченко</w:t>
      </w:r>
    </w:p>
    <w:p w:rsidR="00D37F2D" w:rsidRDefault="00D37F2D" w:rsidP="00341F3D">
      <w:pPr>
        <w:jc w:val="center"/>
        <w:rPr>
          <w:b/>
          <w:sz w:val="22"/>
          <w:szCs w:val="22"/>
          <w:lang w:val="uk-UA"/>
        </w:rPr>
      </w:pPr>
    </w:p>
    <w:p w:rsidR="00D37F2D" w:rsidRDefault="00D37F2D" w:rsidP="00341F3D">
      <w:pPr>
        <w:jc w:val="center"/>
        <w:rPr>
          <w:b/>
          <w:sz w:val="22"/>
          <w:szCs w:val="22"/>
          <w:lang w:val="uk-UA"/>
        </w:rPr>
      </w:pPr>
    </w:p>
    <w:p w:rsidR="00D37F2D" w:rsidRPr="00AD73B6" w:rsidRDefault="00D37F2D" w:rsidP="00341F3D">
      <w:pPr>
        <w:jc w:val="center"/>
        <w:rPr>
          <w:b/>
          <w:sz w:val="22"/>
          <w:szCs w:val="22"/>
          <w:lang w:val="uk-UA"/>
        </w:rPr>
      </w:pPr>
      <w:r w:rsidRPr="00AD73B6">
        <w:rPr>
          <w:b/>
          <w:sz w:val="22"/>
          <w:szCs w:val="22"/>
          <w:lang w:val="uk-UA"/>
        </w:rPr>
        <w:t>Звіт Ревізійної комісії</w:t>
      </w:r>
    </w:p>
    <w:p w:rsidR="00D37F2D" w:rsidRPr="00AD73B6" w:rsidRDefault="00D37F2D" w:rsidP="00341F3D">
      <w:pPr>
        <w:jc w:val="center"/>
        <w:rPr>
          <w:b/>
          <w:sz w:val="22"/>
          <w:szCs w:val="22"/>
          <w:lang w:val="uk-UA"/>
        </w:rPr>
      </w:pPr>
      <w:r w:rsidRPr="00AD73B6">
        <w:rPr>
          <w:b/>
          <w:sz w:val="22"/>
          <w:szCs w:val="22"/>
          <w:lang w:val="uk-UA"/>
        </w:rPr>
        <w:t>Висновк</w:t>
      </w:r>
      <w:r>
        <w:rPr>
          <w:b/>
          <w:sz w:val="22"/>
          <w:szCs w:val="22"/>
          <w:lang w:val="uk-UA"/>
        </w:rPr>
        <w:t>и</w:t>
      </w:r>
      <w:r w:rsidRPr="00AD73B6">
        <w:rPr>
          <w:b/>
          <w:sz w:val="22"/>
          <w:szCs w:val="22"/>
          <w:lang w:val="uk-UA"/>
        </w:rPr>
        <w:t xml:space="preserve"> за підсумками перевірки фінансово-господарської діяльності </w:t>
      </w:r>
      <w:r>
        <w:rPr>
          <w:b/>
          <w:sz w:val="22"/>
          <w:szCs w:val="22"/>
          <w:lang w:val="uk-UA"/>
        </w:rPr>
        <w:t>Т</w:t>
      </w:r>
      <w:r w:rsidRPr="00AD73B6">
        <w:rPr>
          <w:b/>
          <w:sz w:val="22"/>
          <w:szCs w:val="22"/>
          <w:lang w:val="uk-UA"/>
        </w:rPr>
        <w:t>овариства</w:t>
      </w:r>
    </w:p>
    <w:p w:rsidR="00D37F2D" w:rsidRPr="00AD73B6" w:rsidRDefault="00D37F2D" w:rsidP="00341F3D">
      <w:pPr>
        <w:jc w:val="center"/>
        <w:rPr>
          <w:b/>
          <w:sz w:val="22"/>
          <w:szCs w:val="22"/>
          <w:lang w:val="uk-UA"/>
        </w:rPr>
      </w:pPr>
      <w:r w:rsidRPr="00AD73B6">
        <w:rPr>
          <w:b/>
          <w:sz w:val="22"/>
          <w:szCs w:val="22"/>
          <w:lang w:val="uk-UA"/>
        </w:rPr>
        <w:t>за 201</w:t>
      </w:r>
      <w:r w:rsidR="00341F3D">
        <w:rPr>
          <w:b/>
          <w:sz w:val="22"/>
          <w:szCs w:val="22"/>
          <w:lang w:val="uk-UA"/>
        </w:rPr>
        <w:t>4</w:t>
      </w:r>
      <w:r w:rsidRPr="00AD73B6">
        <w:rPr>
          <w:b/>
          <w:sz w:val="22"/>
          <w:szCs w:val="22"/>
          <w:lang w:val="uk-UA"/>
        </w:rPr>
        <w:t xml:space="preserve"> рік</w:t>
      </w:r>
    </w:p>
    <w:p w:rsidR="00D37F2D" w:rsidRPr="00CE5615" w:rsidRDefault="00D37F2D" w:rsidP="00341F3D">
      <w:pPr>
        <w:ind w:firstLine="851"/>
        <w:jc w:val="both"/>
        <w:rPr>
          <w:sz w:val="24"/>
          <w:szCs w:val="24"/>
          <w:lang w:val="uk-UA"/>
        </w:rPr>
      </w:pPr>
    </w:p>
    <w:p w:rsidR="00D37F2D" w:rsidRPr="003B1D5C" w:rsidRDefault="00D37F2D" w:rsidP="002C4D67">
      <w:p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1. Перевірка фінансово-господарської діяльності Товариства Ревізійною комісією здійснювалась з урахуванням вимог внутрішніх документів Товариства, Закону України «Про акціонерні товариства»</w:t>
      </w:r>
      <w:r w:rsidR="002C4D67">
        <w:rPr>
          <w:sz w:val="22"/>
          <w:szCs w:val="22"/>
          <w:lang w:val="uk-UA"/>
        </w:rPr>
        <w:t xml:space="preserve">, </w:t>
      </w:r>
      <w:r w:rsidRPr="003B1D5C">
        <w:rPr>
          <w:sz w:val="22"/>
          <w:szCs w:val="22"/>
          <w:lang w:val="uk-UA"/>
        </w:rPr>
        <w:t>Закону України «Про бухгалтерський облік та фінансову звітність в Україні»</w:t>
      </w:r>
      <w:r w:rsidR="002C4D67">
        <w:rPr>
          <w:sz w:val="22"/>
          <w:szCs w:val="22"/>
          <w:lang w:val="uk-UA"/>
        </w:rPr>
        <w:t xml:space="preserve">, </w:t>
      </w:r>
      <w:r w:rsidRPr="003B1D5C">
        <w:rPr>
          <w:sz w:val="22"/>
          <w:szCs w:val="22"/>
          <w:lang w:val="uk-UA"/>
        </w:rPr>
        <w:t>Міжнародних стандартів бухгалтерського обліку</w:t>
      </w:r>
      <w:r w:rsidR="002C4D67">
        <w:rPr>
          <w:sz w:val="22"/>
          <w:szCs w:val="22"/>
          <w:lang w:val="uk-UA"/>
        </w:rPr>
        <w:t xml:space="preserve">, </w:t>
      </w:r>
      <w:r w:rsidRPr="003B1D5C">
        <w:rPr>
          <w:sz w:val="22"/>
          <w:szCs w:val="22"/>
          <w:lang w:val="uk-UA"/>
        </w:rPr>
        <w:t>Міжнародних стандартів фінансової звітності</w:t>
      </w:r>
      <w:r w:rsidR="002C4D67">
        <w:rPr>
          <w:sz w:val="22"/>
          <w:szCs w:val="22"/>
          <w:lang w:val="uk-UA"/>
        </w:rPr>
        <w:t>, Міжнародних та н</w:t>
      </w:r>
      <w:r w:rsidRPr="003B1D5C">
        <w:rPr>
          <w:sz w:val="22"/>
          <w:szCs w:val="22"/>
          <w:lang w:val="uk-UA"/>
        </w:rPr>
        <w:t>аціональних стандартів бухгалтерського обліку</w:t>
      </w:r>
      <w:r w:rsidR="002C4D67">
        <w:rPr>
          <w:sz w:val="22"/>
          <w:szCs w:val="22"/>
          <w:lang w:val="uk-UA"/>
        </w:rPr>
        <w:t>.</w:t>
      </w:r>
      <w:r w:rsidRPr="003B1D5C">
        <w:rPr>
          <w:sz w:val="22"/>
          <w:szCs w:val="22"/>
          <w:lang w:val="uk-UA"/>
        </w:rPr>
        <w:t xml:space="preserve"> </w:t>
      </w:r>
    </w:p>
    <w:p w:rsidR="00D37F2D" w:rsidRPr="003B1D5C" w:rsidRDefault="00D37F2D" w:rsidP="00341F3D">
      <w:pPr>
        <w:widowControl/>
        <w:autoSpaceDE/>
        <w:autoSpaceDN/>
        <w:adjustRightInd/>
        <w:rPr>
          <w:sz w:val="22"/>
          <w:szCs w:val="22"/>
          <w:lang w:val="uk-UA"/>
        </w:rPr>
      </w:pPr>
    </w:p>
    <w:p w:rsidR="00D37F2D" w:rsidRPr="003B1D5C" w:rsidRDefault="00D37F2D" w:rsidP="00341F3D">
      <w:p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 xml:space="preserve">2. Відповідно до вимог </w:t>
      </w:r>
      <w:r>
        <w:rPr>
          <w:sz w:val="22"/>
          <w:szCs w:val="22"/>
          <w:lang w:val="uk-UA"/>
        </w:rPr>
        <w:t>с</w:t>
      </w:r>
      <w:r w:rsidRPr="003B1D5C">
        <w:rPr>
          <w:sz w:val="22"/>
          <w:szCs w:val="22"/>
          <w:lang w:val="uk-UA"/>
        </w:rPr>
        <w:t>татуту Товариства та чинного законодавства Ревізійна комісія здійснила перевірку:</w:t>
      </w:r>
    </w:p>
    <w:p w:rsidR="00D37F2D" w:rsidRPr="002C4D67" w:rsidRDefault="00D37F2D" w:rsidP="002C4D67">
      <w:pPr>
        <w:pStyle w:val="a4"/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2C4D67">
        <w:rPr>
          <w:sz w:val="22"/>
          <w:szCs w:val="22"/>
          <w:lang w:val="uk-UA"/>
        </w:rPr>
        <w:t>даних, що містяться в річній фінансовій звітності;</w:t>
      </w:r>
    </w:p>
    <w:p w:rsidR="00D37F2D" w:rsidRPr="003B1D5C" w:rsidRDefault="00D37F2D" w:rsidP="00341F3D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відповідність ведення бухгалтерського обліку нормативно-правовим актам України та міжнародним стандартам;</w:t>
      </w:r>
    </w:p>
    <w:p w:rsidR="00D37F2D" w:rsidRPr="003B1D5C" w:rsidRDefault="00D37F2D" w:rsidP="00341F3D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дотримання встановлених норматив</w:t>
      </w:r>
      <w:r>
        <w:rPr>
          <w:sz w:val="22"/>
          <w:szCs w:val="22"/>
          <w:lang w:val="uk-UA"/>
        </w:rPr>
        <w:t>ів</w:t>
      </w:r>
      <w:r w:rsidRPr="003B1D5C">
        <w:rPr>
          <w:sz w:val="22"/>
          <w:szCs w:val="22"/>
          <w:lang w:val="uk-UA"/>
        </w:rPr>
        <w:t xml:space="preserve"> і правил у фінансово-господарській діяльності </w:t>
      </w:r>
      <w:r>
        <w:rPr>
          <w:sz w:val="22"/>
          <w:szCs w:val="22"/>
          <w:lang w:val="uk-UA"/>
        </w:rPr>
        <w:t>Т</w:t>
      </w:r>
      <w:r w:rsidRPr="003B1D5C">
        <w:rPr>
          <w:sz w:val="22"/>
          <w:szCs w:val="22"/>
          <w:lang w:val="uk-UA"/>
        </w:rPr>
        <w:t>овариства;</w:t>
      </w:r>
    </w:p>
    <w:p w:rsidR="00D37F2D" w:rsidRPr="003B1D5C" w:rsidRDefault="00D37F2D" w:rsidP="00341F3D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своєчасності та правильності платежів постачальникам продукції та послуг, платежів до бюджету, виконання інших зобов’язань Товариства;</w:t>
      </w:r>
    </w:p>
    <w:p w:rsidR="00D37F2D" w:rsidRPr="003B1D5C" w:rsidRDefault="00D37F2D" w:rsidP="00341F3D">
      <w:pPr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використання прибутку Товариства.</w:t>
      </w:r>
    </w:p>
    <w:p w:rsidR="00D37F2D" w:rsidRPr="003B1D5C" w:rsidRDefault="00D37F2D" w:rsidP="00341F3D">
      <w:pPr>
        <w:ind w:firstLine="851"/>
        <w:jc w:val="both"/>
        <w:rPr>
          <w:sz w:val="22"/>
          <w:szCs w:val="22"/>
          <w:lang w:val="uk-UA"/>
        </w:rPr>
      </w:pPr>
    </w:p>
    <w:p w:rsidR="00D37F2D" w:rsidRPr="003B1D5C" w:rsidRDefault="00D37F2D" w:rsidP="00341F3D">
      <w:p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3. За результатами перевірки Ревізійна комісія повідомляє наступне:</w:t>
      </w:r>
    </w:p>
    <w:p w:rsidR="00D37F2D" w:rsidRPr="003B1D5C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за підсумками інвентаризації активів та зобов’язань Товариства, порушень не виявлено;</w:t>
      </w:r>
    </w:p>
    <w:p w:rsidR="00D37F2D" w:rsidRPr="003B1D5C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амортизація основних засобів нарахована у відповідності до вимог чинного законодавства без порушень;</w:t>
      </w:r>
    </w:p>
    <w:p w:rsidR="00D37F2D" w:rsidRPr="003B1D5C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облік всіх активів та зобов’язань Товариства на рахунках бухгалтерського обліку здійснюється достовірно, без порушень, у відповідності до вимог чинного законодавства;</w:t>
      </w:r>
    </w:p>
    <w:p w:rsidR="00D37F2D" w:rsidRPr="00702D2D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702D2D">
        <w:rPr>
          <w:sz w:val="22"/>
          <w:szCs w:val="22"/>
          <w:lang w:val="uk-UA"/>
        </w:rPr>
        <w:t xml:space="preserve">згідно рішень </w:t>
      </w:r>
      <w:r>
        <w:rPr>
          <w:sz w:val="22"/>
          <w:szCs w:val="22"/>
          <w:lang w:val="uk-UA"/>
        </w:rPr>
        <w:t>з</w:t>
      </w:r>
      <w:r w:rsidRPr="00702D2D">
        <w:rPr>
          <w:sz w:val="22"/>
          <w:szCs w:val="22"/>
          <w:lang w:val="uk-UA"/>
        </w:rPr>
        <w:t>агальних зборів акціонерів</w:t>
      </w:r>
      <w:r>
        <w:rPr>
          <w:sz w:val="22"/>
          <w:szCs w:val="22"/>
          <w:lang w:val="uk-UA"/>
        </w:rPr>
        <w:t xml:space="preserve"> </w:t>
      </w:r>
      <w:r w:rsidRPr="00702D2D">
        <w:rPr>
          <w:sz w:val="22"/>
          <w:szCs w:val="22"/>
          <w:lang w:val="uk-UA"/>
        </w:rPr>
        <w:t>нарахування та сплат дивідендів в 201</w:t>
      </w:r>
      <w:r w:rsidR="0014409A">
        <w:rPr>
          <w:sz w:val="22"/>
          <w:szCs w:val="22"/>
          <w:lang w:val="uk-UA"/>
        </w:rPr>
        <w:t>4</w:t>
      </w:r>
      <w:r w:rsidRPr="00702D2D">
        <w:rPr>
          <w:sz w:val="22"/>
          <w:szCs w:val="22"/>
          <w:lang w:val="uk-UA"/>
        </w:rPr>
        <w:t xml:space="preserve"> році </w:t>
      </w:r>
      <w:r>
        <w:rPr>
          <w:sz w:val="22"/>
          <w:szCs w:val="22"/>
          <w:lang w:val="uk-UA"/>
        </w:rPr>
        <w:t>не здійснювалось;</w:t>
      </w:r>
      <w:r w:rsidRPr="00702D2D">
        <w:rPr>
          <w:sz w:val="22"/>
          <w:szCs w:val="22"/>
          <w:lang w:val="uk-UA"/>
        </w:rPr>
        <w:t xml:space="preserve"> </w:t>
      </w:r>
    </w:p>
    <w:p w:rsidR="00D37F2D" w:rsidRPr="00702D2D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702D2D">
        <w:rPr>
          <w:sz w:val="22"/>
          <w:szCs w:val="22"/>
          <w:lang w:val="uk-UA"/>
        </w:rPr>
        <w:t>протягом звітного року та попередніх років Товариство не здійснювало випуск облігацій;</w:t>
      </w:r>
    </w:p>
    <w:p w:rsidR="00D37F2D" w:rsidRPr="003B1D5C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 xml:space="preserve">використання прибутку Товариства, отриманого за результатами 2014 року, здійснено у відповідності до </w:t>
      </w:r>
      <w:r>
        <w:rPr>
          <w:sz w:val="22"/>
          <w:szCs w:val="22"/>
          <w:lang w:val="uk-UA"/>
        </w:rPr>
        <w:t>р</w:t>
      </w:r>
      <w:r w:rsidRPr="003B1D5C">
        <w:rPr>
          <w:sz w:val="22"/>
          <w:szCs w:val="22"/>
          <w:lang w:val="uk-UA"/>
        </w:rPr>
        <w:t xml:space="preserve">ішення </w:t>
      </w:r>
      <w:r>
        <w:rPr>
          <w:sz w:val="22"/>
          <w:szCs w:val="22"/>
          <w:lang w:val="uk-UA"/>
        </w:rPr>
        <w:t>з</w:t>
      </w:r>
      <w:r w:rsidRPr="003B1D5C">
        <w:rPr>
          <w:sz w:val="22"/>
          <w:szCs w:val="22"/>
          <w:lang w:val="uk-UA"/>
        </w:rPr>
        <w:t>агальних зборів акціонерів., а саме</w:t>
      </w:r>
      <w:r>
        <w:rPr>
          <w:sz w:val="22"/>
          <w:szCs w:val="22"/>
          <w:lang w:val="uk-UA"/>
        </w:rPr>
        <w:t>:</w:t>
      </w:r>
      <w:r w:rsidRPr="003B1D5C">
        <w:rPr>
          <w:sz w:val="22"/>
          <w:szCs w:val="22"/>
          <w:lang w:val="uk-UA"/>
        </w:rPr>
        <w:t xml:space="preserve"> </w:t>
      </w:r>
      <w:r w:rsidR="00AF257C" w:rsidRPr="007442A3">
        <w:rPr>
          <w:sz w:val="24"/>
          <w:szCs w:val="24"/>
          <w:lang w:val="uk-UA"/>
        </w:rPr>
        <w:t>прибуток направ</w:t>
      </w:r>
      <w:r w:rsidR="00AF257C">
        <w:rPr>
          <w:sz w:val="24"/>
          <w:szCs w:val="24"/>
          <w:lang w:val="uk-UA"/>
        </w:rPr>
        <w:t>лено</w:t>
      </w:r>
      <w:r w:rsidR="00AF257C" w:rsidRPr="007442A3">
        <w:rPr>
          <w:sz w:val="24"/>
          <w:szCs w:val="24"/>
          <w:lang w:val="uk-UA"/>
        </w:rPr>
        <w:t xml:space="preserve"> на погашення збитків минулих років та поповнення обігових коштів</w:t>
      </w:r>
      <w:r w:rsidRPr="003B1D5C">
        <w:rPr>
          <w:sz w:val="22"/>
          <w:szCs w:val="22"/>
          <w:lang w:val="uk-UA"/>
        </w:rPr>
        <w:t>;</w:t>
      </w:r>
    </w:p>
    <w:p w:rsidR="00D37F2D" w:rsidRPr="003B1D5C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 xml:space="preserve">за результатами </w:t>
      </w:r>
      <w:r>
        <w:rPr>
          <w:sz w:val="22"/>
          <w:szCs w:val="22"/>
          <w:lang w:val="uk-UA"/>
        </w:rPr>
        <w:t xml:space="preserve">діяльності у </w:t>
      </w:r>
      <w:r w:rsidRPr="003B1D5C">
        <w:rPr>
          <w:sz w:val="22"/>
          <w:szCs w:val="22"/>
          <w:lang w:val="uk-UA"/>
        </w:rPr>
        <w:t>201</w:t>
      </w:r>
      <w:r w:rsidR="00AF257C">
        <w:rPr>
          <w:sz w:val="22"/>
          <w:szCs w:val="22"/>
          <w:lang w:val="uk-UA"/>
        </w:rPr>
        <w:t>4</w:t>
      </w:r>
      <w:r w:rsidRPr="003B1D5C">
        <w:rPr>
          <w:sz w:val="22"/>
          <w:szCs w:val="22"/>
          <w:lang w:val="uk-UA"/>
        </w:rPr>
        <w:t xml:space="preserve"> ро</w:t>
      </w:r>
      <w:r>
        <w:rPr>
          <w:sz w:val="22"/>
          <w:szCs w:val="22"/>
          <w:lang w:val="uk-UA"/>
        </w:rPr>
        <w:t>ці</w:t>
      </w:r>
      <w:r w:rsidRPr="003B1D5C">
        <w:rPr>
          <w:sz w:val="22"/>
          <w:szCs w:val="22"/>
          <w:lang w:val="uk-UA"/>
        </w:rPr>
        <w:t xml:space="preserve"> Товариство має чистий </w:t>
      </w:r>
      <w:r>
        <w:rPr>
          <w:sz w:val="22"/>
          <w:szCs w:val="22"/>
          <w:lang w:val="uk-UA"/>
        </w:rPr>
        <w:t>прибуток в</w:t>
      </w:r>
      <w:r w:rsidRPr="003B1D5C">
        <w:rPr>
          <w:sz w:val="22"/>
          <w:szCs w:val="22"/>
          <w:lang w:val="uk-UA"/>
        </w:rPr>
        <w:t xml:space="preserve"> розмірі </w:t>
      </w:r>
      <w:r w:rsidR="00AF257C" w:rsidRPr="00427971">
        <w:rPr>
          <w:sz w:val="22"/>
          <w:szCs w:val="22"/>
          <w:lang w:val="uk-UA"/>
        </w:rPr>
        <w:t xml:space="preserve">20 756 </w:t>
      </w:r>
      <w:r w:rsidRPr="003B1D5C">
        <w:rPr>
          <w:sz w:val="22"/>
          <w:szCs w:val="22"/>
          <w:lang w:val="uk-UA"/>
        </w:rPr>
        <w:t xml:space="preserve">тис. грн. Порядок </w:t>
      </w:r>
      <w:r>
        <w:rPr>
          <w:sz w:val="22"/>
          <w:szCs w:val="22"/>
          <w:lang w:val="uk-UA"/>
        </w:rPr>
        <w:t>розподілу прибутку</w:t>
      </w:r>
      <w:r w:rsidRPr="003B1D5C">
        <w:rPr>
          <w:sz w:val="22"/>
          <w:szCs w:val="22"/>
          <w:lang w:val="uk-UA"/>
        </w:rPr>
        <w:t xml:space="preserve"> має </w:t>
      </w:r>
      <w:proofErr w:type="spellStart"/>
      <w:r w:rsidRPr="003B1D5C">
        <w:rPr>
          <w:sz w:val="22"/>
          <w:szCs w:val="22"/>
          <w:lang w:val="uk-UA"/>
        </w:rPr>
        <w:t>здійснюватись</w:t>
      </w:r>
      <w:proofErr w:type="spellEnd"/>
      <w:r w:rsidRPr="003B1D5C">
        <w:rPr>
          <w:sz w:val="22"/>
          <w:szCs w:val="22"/>
          <w:lang w:val="uk-UA"/>
        </w:rPr>
        <w:t xml:space="preserve"> за рішенням чергових річ</w:t>
      </w:r>
      <w:r>
        <w:rPr>
          <w:sz w:val="22"/>
          <w:szCs w:val="22"/>
          <w:lang w:val="uk-UA"/>
        </w:rPr>
        <w:t>них загальних зборів акціонерів</w:t>
      </w:r>
      <w:r w:rsidRPr="003B1D5C">
        <w:rPr>
          <w:sz w:val="22"/>
          <w:szCs w:val="22"/>
          <w:lang w:val="uk-UA"/>
        </w:rPr>
        <w:t>;</w:t>
      </w:r>
    </w:p>
    <w:p w:rsidR="00D37F2D" w:rsidRPr="003B1D5C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ведення бухгалтерського обліку відповідає нормативно-правовим актам України, міжнародним стандартам;</w:t>
      </w:r>
    </w:p>
    <w:p w:rsidR="00D37F2D" w:rsidRPr="003B1D5C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розрахунок розміру доходів та витрат, податкових зобов’язань, чистого прибутку (збитку) здійснено достовірно, без порушень, у відповідності до вимог чинного законодавства;</w:t>
      </w:r>
    </w:p>
    <w:p w:rsidR="00D37F2D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3B1D5C">
        <w:rPr>
          <w:sz w:val="22"/>
          <w:szCs w:val="22"/>
          <w:lang w:val="uk-UA"/>
        </w:rPr>
        <w:t>дані, що містяться в річній фінансовій звітності Товариства  за 201</w:t>
      </w:r>
      <w:r w:rsidR="00AF257C">
        <w:rPr>
          <w:sz w:val="22"/>
          <w:szCs w:val="22"/>
          <w:lang w:val="uk-UA"/>
        </w:rPr>
        <w:t>4</w:t>
      </w:r>
      <w:r w:rsidRPr="003B1D5C">
        <w:rPr>
          <w:sz w:val="22"/>
          <w:szCs w:val="22"/>
          <w:lang w:val="uk-UA"/>
        </w:rPr>
        <w:t xml:space="preserve"> рік</w:t>
      </w:r>
      <w:r>
        <w:rPr>
          <w:sz w:val="22"/>
          <w:szCs w:val="22"/>
          <w:lang w:val="uk-UA"/>
        </w:rPr>
        <w:t>,</w:t>
      </w:r>
      <w:r w:rsidRPr="003B1D5C">
        <w:rPr>
          <w:sz w:val="22"/>
          <w:szCs w:val="22"/>
          <w:lang w:val="uk-UA"/>
        </w:rPr>
        <w:t xml:space="preserve"> є достовірними та в повній мірі відобража</w:t>
      </w:r>
      <w:r>
        <w:rPr>
          <w:sz w:val="22"/>
          <w:szCs w:val="22"/>
          <w:lang w:val="uk-UA"/>
        </w:rPr>
        <w:t>ють фінансовий стан Товариства;</w:t>
      </w:r>
    </w:p>
    <w:p w:rsidR="00D37F2D" w:rsidRDefault="00D37F2D" w:rsidP="00341F3D">
      <w:pPr>
        <w:numPr>
          <w:ilvl w:val="0"/>
          <w:numId w:val="3"/>
        </w:numPr>
        <w:jc w:val="both"/>
        <w:rPr>
          <w:sz w:val="22"/>
          <w:szCs w:val="22"/>
          <w:lang w:val="uk-UA"/>
        </w:rPr>
      </w:pPr>
      <w:r w:rsidRPr="00F614A2">
        <w:rPr>
          <w:sz w:val="22"/>
          <w:szCs w:val="22"/>
          <w:lang w:val="uk-UA"/>
        </w:rPr>
        <w:t>встановлені нормативи і правила у фінансово-господарській діяльності Товариства дотримуються в повній мірі.</w:t>
      </w:r>
    </w:p>
    <w:p w:rsidR="00D37F2D" w:rsidRPr="003B1D5C" w:rsidRDefault="00D37F2D" w:rsidP="00341F3D">
      <w:pPr>
        <w:ind w:left="720"/>
        <w:jc w:val="both"/>
        <w:rPr>
          <w:sz w:val="22"/>
          <w:szCs w:val="22"/>
          <w:lang w:val="uk-UA"/>
        </w:rPr>
      </w:pPr>
    </w:p>
    <w:p w:rsidR="00D37F2D" w:rsidRDefault="00D37F2D" w:rsidP="00341F3D">
      <w:pPr>
        <w:jc w:val="both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 xml:space="preserve">4. </w:t>
      </w:r>
      <w:r>
        <w:rPr>
          <w:sz w:val="22"/>
          <w:szCs w:val="22"/>
          <w:lang w:val="uk-UA"/>
        </w:rPr>
        <w:t>Відповідно до вимог статуту Товариства та чинного законодавства</w:t>
      </w:r>
      <w:r w:rsidRPr="004C23B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</w:t>
      </w:r>
      <w:r w:rsidRPr="004C23B0">
        <w:rPr>
          <w:sz w:val="22"/>
          <w:szCs w:val="22"/>
          <w:lang w:val="uk-UA"/>
        </w:rPr>
        <w:t>евізійна комісія</w:t>
      </w:r>
      <w:r>
        <w:rPr>
          <w:sz w:val="22"/>
          <w:szCs w:val="22"/>
          <w:lang w:val="uk-UA"/>
        </w:rPr>
        <w:t xml:space="preserve"> в ході перевірки </w:t>
      </w:r>
      <w:r w:rsidRPr="004C23B0">
        <w:rPr>
          <w:sz w:val="22"/>
          <w:szCs w:val="22"/>
          <w:lang w:val="uk-UA"/>
        </w:rPr>
        <w:t>здійсн</w:t>
      </w:r>
      <w:r>
        <w:rPr>
          <w:sz w:val="22"/>
          <w:szCs w:val="22"/>
          <w:lang w:val="uk-UA"/>
        </w:rPr>
        <w:t>ила</w:t>
      </w:r>
      <w:r w:rsidRPr="004C23B0">
        <w:rPr>
          <w:sz w:val="22"/>
          <w:szCs w:val="22"/>
          <w:lang w:val="uk-UA"/>
        </w:rPr>
        <w:t xml:space="preserve"> аналіз фінансового становища </w:t>
      </w:r>
      <w:r>
        <w:rPr>
          <w:sz w:val="22"/>
          <w:szCs w:val="22"/>
          <w:lang w:val="uk-UA"/>
        </w:rPr>
        <w:t>Т</w:t>
      </w:r>
      <w:r w:rsidRPr="004C23B0">
        <w:rPr>
          <w:sz w:val="22"/>
          <w:szCs w:val="22"/>
          <w:lang w:val="uk-UA"/>
        </w:rPr>
        <w:t>овариства, його платоспроможності, ліквідності активів, співвідношенн</w:t>
      </w:r>
      <w:r>
        <w:rPr>
          <w:sz w:val="22"/>
          <w:szCs w:val="22"/>
          <w:lang w:val="uk-UA"/>
        </w:rPr>
        <w:t>я власних та запозичених коштів. Для здійснення зазначеного аналізу були використані дані річної фінансової звітності Товариства за 201</w:t>
      </w:r>
      <w:r w:rsidR="00A84617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та 201</w:t>
      </w:r>
      <w:r w:rsidR="00A84617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роки. Результати, отримані внаслідок </w:t>
      </w:r>
      <w:r>
        <w:rPr>
          <w:sz w:val="22"/>
          <w:szCs w:val="22"/>
          <w:lang w:val="uk-UA"/>
        </w:rPr>
        <w:lastRenderedPageBreak/>
        <w:t>аналізу, наведено в таблиці.</w:t>
      </w:r>
    </w:p>
    <w:p w:rsidR="00D37F2D" w:rsidRDefault="00D37F2D" w:rsidP="00341F3D">
      <w:pPr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368"/>
        <w:gridCol w:w="1463"/>
      </w:tblGrid>
      <w:tr w:rsidR="000419B5" w:rsidRPr="00D41D92" w:rsidTr="000419B5">
        <w:trPr>
          <w:cantSplit/>
          <w:trHeight w:val="235"/>
        </w:trPr>
        <w:tc>
          <w:tcPr>
            <w:tcW w:w="7200" w:type="dxa"/>
          </w:tcPr>
          <w:p w:rsidR="000419B5" w:rsidRPr="00D41D92" w:rsidRDefault="000419B5" w:rsidP="000419B5">
            <w:proofErr w:type="spellStart"/>
            <w:r w:rsidRPr="00D41D92">
              <w:t>Найменування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показника</w:t>
            </w:r>
            <w:proofErr w:type="spellEnd"/>
          </w:p>
        </w:tc>
        <w:tc>
          <w:tcPr>
            <w:tcW w:w="2831" w:type="dxa"/>
            <w:gridSpan w:val="2"/>
          </w:tcPr>
          <w:p w:rsidR="000419B5" w:rsidRPr="00D41D92" w:rsidRDefault="000419B5" w:rsidP="000419B5">
            <w:pPr>
              <w:jc w:val="center"/>
            </w:pPr>
            <w:r w:rsidRPr="00D41D92">
              <w:t>ПЕРІОД</w:t>
            </w:r>
          </w:p>
        </w:tc>
      </w:tr>
      <w:tr w:rsidR="000419B5" w:rsidRPr="00D41D92" w:rsidTr="000419B5">
        <w:trPr>
          <w:trHeight w:val="252"/>
        </w:trPr>
        <w:tc>
          <w:tcPr>
            <w:tcW w:w="7200" w:type="dxa"/>
          </w:tcPr>
          <w:p w:rsidR="000419B5" w:rsidRPr="00D41D92" w:rsidRDefault="000419B5" w:rsidP="000419B5"/>
        </w:tc>
        <w:tc>
          <w:tcPr>
            <w:tcW w:w="1368" w:type="dxa"/>
          </w:tcPr>
          <w:p w:rsidR="000419B5" w:rsidRPr="00D41D92" w:rsidRDefault="000419B5" w:rsidP="000419B5">
            <w:proofErr w:type="spellStart"/>
            <w:r w:rsidRPr="00D41D92">
              <w:t>Звітний</w:t>
            </w:r>
            <w:proofErr w:type="spellEnd"/>
            <w:r w:rsidRPr="00D41D92">
              <w:t xml:space="preserve"> (201</w:t>
            </w:r>
            <w:r>
              <w:rPr>
                <w:lang w:val="uk-UA"/>
              </w:rPr>
              <w:t>4</w:t>
            </w:r>
            <w:r w:rsidRPr="00D41D92">
              <w:t>р)</w:t>
            </w:r>
          </w:p>
        </w:tc>
        <w:tc>
          <w:tcPr>
            <w:tcW w:w="1463" w:type="dxa"/>
          </w:tcPr>
          <w:p w:rsidR="000419B5" w:rsidRPr="00D41D92" w:rsidRDefault="000419B5" w:rsidP="000419B5">
            <w:proofErr w:type="spellStart"/>
            <w:r w:rsidRPr="00D41D92">
              <w:t>Попередній</w:t>
            </w:r>
            <w:proofErr w:type="spellEnd"/>
            <w:r w:rsidRPr="00D41D92">
              <w:t xml:space="preserve">  </w:t>
            </w:r>
          </w:p>
          <w:p w:rsidR="000419B5" w:rsidRPr="00D41D92" w:rsidRDefault="000419B5" w:rsidP="000419B5">
            <w:r w:rsidRPr="00D41D92">
              <w:t>(201</w:t>
            </w:r>
            <w:r>
              <w:rPr>
                <w:lang w:val="uk-UA"/>
              </w:rPr>
              <w:t>3</w:t>
            </w:r>
            <w:r w:rsidRPr="00D41D92">
              <w:t>р)</w:t>
            </w:r>
          </w:p>
        </w:tc>
      </w:tr>
      <w:tr w:rsidR="000419B5" w:rsidRPr="00D41D92" w:rsidTr="000419B5">
        <w:trPr>
          <w:trHeight w:val="192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Усього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активів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8A7001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416 943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376 533 </w:t>
            </w:r>
          </w:p>
        </w:tc>
      </w:tr>
      <w:tr w:rsidR="000419B5" w:rsidRPr="00D41D92" w:rsidTr="000419B5">
        <w:trPr>
          <w:trHeight w:val="148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Основні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засоби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8A7001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16 328 </w:t>
            </w:r>
          </w:p>
        </w:tc>
      </w:tr>
      <w:tr w:rsidR="000419B5" w:rsidRPr="00D41D92" w:rsidTr="000419B5">
        <w:trPr>
          <w:trHeight w:val="117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Довгострокові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фінансові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інвестиції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8A7001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>0</w:t>
            </w:r>
          </w:p>
        </w:tc>
      </w:tr>
      <w:tr w:rsidR="000419B5" w:rsidRPr="00D41D92" w:rsidTr="000419B5">
        <w:trPr>
          <w:trHeight w:val="74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Запаси</w:t>
            </w:r>
          </w:p>
        </w:tc>
        <w:tc>
          <w:tcPr>
            <w:tcW w:w="1368" w:type="dxa"/>
            <w:vAlign w:val="bottom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12 948 </w:t>
            </w:r>
          </w:p>
        </w:tc>
      </w:tr>
      <w:tr w:rsidR="000419B5" w:rsidRPr="00D41D92" w:rsidTr="000419B5">
        <w:trPr>
          <w:trHeight w:val="70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Сумарна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дебіторська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заборгованість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413 164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336 438 </w:t>
            </w:r>
          </w:p>
        </w:tc>
      </w:tr>
      <w:tr w:rsidR="000419B5" w:rsidRPr="00D41D92" w:rsidTr="000419B5">
        <w:trPr>
          <w:trHeight w:val="70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Грошові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кошти</w:t>
            </w:r>
            <w:proofErr w:type="spellEnd"/>
            <w:r w:rsidRPr="00D41D92">
              <w:t xml:space="preserve"> та </w:t>
            </w:r>
            <w:proofErr w:type="spellStart"/>
            <w:r w:rsidRPr="00D41D92">
              <w:t>їх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еквіваленти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3 689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1 228 </w:t>
            </w:r>
          </w:p>
        </w:tc>
      </w:tr>
      <w:tr w:rsidR="000419B5" w:rsidRPr="00D41D92" w:rsidTr="000419B5">
        <w:trPr>
          <w:trHeight w:val="249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Нерозподілений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прибуток</w:t>
            </w:r>
            <w:proofErr w:type="spellEnd"/>
            <w:r w:rsidRPr="00D41D92">
              <w:t xml:space="preserve"> (</w:t>
            </w:r>
            <w:proofErr w:type="spellStart"/>
            <w:r w:rsidRPr="00D41D92">
              <w:t>збиток</w:t>
            </w:r>
            <w:proofErr w:type="spellEnd"/>
            <w:r w:rsidRPr="00D41D92">
              <w:t>)</w:t>
            </w:r>
          </w:p>
        </w:tc>
        <w:tc>
          <w:tcPr>
            <w:tcW w:w="1368" w:type="dxa"/>
            <w:vAlign w:val="bottom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(20 756)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25 935 </w:t>
            </w:r>
          </w:p>
        </w:tc>
      </w:tr>
      <w:tr w:rsidR="000419B5" w:rsidRPr="00D41D92" w:rsidTr="000419B5">
        <w:trPr>
          <w:trHeight w:val="70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Власний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капітал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62 773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83 531 </w:t>
            </w:r>
          </w:p>
        </w:tc>
      </w:tr>
      <w:tr w:rsidR="000419B5" w:rsidRPr="00D41D92" w:rsidTr="000419B5">
        <w:trPr>
          <w:trHeight w:val="200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Статутний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капітал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49 756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>49 756</w:t>
            </w:r>
          </w:p>
        </w:tc>
      </w:tr>
      <w:tr w:rsidR="000419B5" w:rsidRPr="00D41D92" w:rsidTr="000419B5">
        <w:trPr>
          <w:trHeight w:val="170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Довгострокові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зобов’язання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>0</w:t>
            </w:r>
          </w:p>
        </w:tc>
      </w:tr>
      <w:tr w:rsidR="000419B5" w:rsidRPr="002A7AA2" w:rsidTr="000419B5">
        <w:trPr>
          <w:trHeight w:val="162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Поточні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зобов’язання</w:t>
            </w:r>
            <w:proofErr w:type="spellEnd"/>
          </w:p>
        </w:tc>
        <w:tc>
          <w:tcPr>
            <w:tcW w:w="1368" w:type="dxa"/>
            <w:vAlign w:val="bottom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354 170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293 002 </w:t>
            </w:r>
          </w:p>
        </w:tc>
      </w:tr>
      <w:tr w:rsidR="000419B5" w:rsidRPr="00D41D92" w:rsidTr="000419B5">
        <w:trPr>
          <w:trHeight w:val="96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Чистий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прибуток</w:t>
            </w:r>
            <w:proofErr w:type="spellEnd"/>
            <w:r w:rsidRPr="00D41D92">
              <w:t xml:space="preserve"> (</w:t>
            </w:r>
            <w:proofErr w:type="spellStart"/>
            <w:r w:rsidRPr="00D41D92">
              <w:t>збиток</w:t>
            </w:r>
            <w:proofErr w:type="spellEnd"/>
            <w:r w:rsidRPr="00D41D92">
              <w:t>)</w:t>
            </w:r>
          </w:p>
        </w:tc>
        <w:tc>
          <w:tcPr>
            <w:tcW w:w="1368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>
              <w:rPr>
                <w:lang w:val="en-US"/>
              </w:rPr>
              <w:t>(20 756)</w:t>
            </w:r>
          </w:p>
        </w:tc>
        <w:tc>
          <w:tcPr>
            <w:tcW w:w="1463" w:type="dxa"/>
            <w:vAlign w:val="bottom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>(3 389)</w:t>
            </w:r>
          </w:p>
        </w:tc>
      </w:tr>
      <w:tr w:rsidR="000419B5" w:rsidRPr="00D41D92" w:rsidTr="000419B5">
        <w:trPr>
          <w:trHeight w:val="70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Середньорічна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кількість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акцій</w:t>
            </w:r>
            <w:proofErr w:type="spellEnd"/>
            <w:r w:rsidRPr="00D41D92">
              <w:t xml:space="preserve"> (шт.)</w:t>
            </w:r>
          </w:p>
        </w:tc>
        <w:tc>
          <w:tcPr>
            <w:tcW w:w="1368" w:type="dxa"/>
            <w:vAlign w:val="center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199 022 070</w:t>
            </w:r>
          </w:p>
        </w:tc>
        <w:tc>
          <w:tcPr>
            <w:tcW w:w="1463" w:type="dxa"/>
            <w:vAlign w:val="center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 xml:space="preserve">29 869 599 </w:t>
            </w:r>
          </w:p>
        </w:tc>
      </w:tr>
      <w:tr w:rsidR="000419B5" w:rsidRPr="00D41D92" w:rsidTr="000419B5">
        <w:trPr>
          <w:trHeight w:val="70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Кількість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власних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акцій</w:t>
            </w:r>
            <w:proofErr w:type="spellEnd"/>
            <w:r w:rsidRPr="00D41D92">
              <w:t xml:space="preserve">, </w:t>
            </w:r>
            <w:proofErr w:type="spellStart"/>
            <w:r w:rsidRPr="00D41D92">
              <w:t>викуплених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протягом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періоду</w:t>
            </w:r>
            <w:proofErr w:type="spellEnd"/>
            <w:r w:rsidRPr="00D41D92">
              <w:t xml:space="preserve"> (шт.)</w:t>
            </w:r>
          </w:p>
        </w:tc>
        <w:tc>
          <w:tcPr>
            <w:tcW w:w="1368" w:type="dxa"/>
            <w:vAlign w:val="center"/>
          </w:tcPr>
          <w:p w:rsidR="000419B5" w:rsidRPr="008A7001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3" w:type="dxa"/>
            <w:vAlign w:val="center"/>
          </w:tcPr>
          <w:p w:rsidR="000419B5" w:rsidRPr="002E2A98" w:rsidRDefault="000419B5" w:rsidP="000419B5">
            <w:pPr>
              <w:jc w:val="right"/>
              <w:rPr>
                <w:lang w:val="uk-UA"/>
              </w:rPr>
            </w:pPr>
            <w:r w:rsidRPr="002E2A98">
              <w:rPr>
                <w:lang w:val="uk-UA"/>
              </w:rPr>
              <w:t>0</w:t>
            </w:r>
          </w:p>
        </w:tc>
      </w:tr>
      <w:tr w:rsidR="000419B5" w:rsidRPr="00D41D92" w:rsidTr="000419B5">
        <w:trPr>
          <w:trHeight w:val="158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Загальна</w:t>
            </w:r>
            <w:proofErr w:type="spellEnd"/>
            <w:r w:rsidRPr="00D41D92">
              <w:t xml:space="preserve"> сума </w:t>
            </w:r>
            <w:proofErr w:type="spellStart"/>
            <w:r w:rsidRPr="00D41D92">
              <w:t>коштів</w:t>
            </w:r>
            <w:proofErr w:type="spellEnd"/>
            <w:r w:rsidRPr="00D41D92">
              <w:t xml:space="preserve">, </w:t>
            </w:r>
            <w:proofErr w:type="spellStart"/>
            <w:r w:rsidRPr="00D41D92">
              <w:t>витрачених</w:t>
            </w:r>
            <w:proofErr w:type="spellEnd"/>
            <w:r w:rsidRPr="00D41D92">
              <w:t xml:space="preserve"> на </w:t>
            </w:r>
            <w:proofErr w:type="spellStart"/>
            <w:r w:rsidRPr="00D41D92">
              <w:t>викуп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власних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акцій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протягом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періоду</w:t>
            </w:r>
            <w:proofErr w:type="spellEnd"/>
          </w:p>
        </w:tc>
        <w:tc>
          <w:tcPr>
            <w:tcW w:w="1368" w:type="dxa"/>
            <w:vAlign w:val="center"/>
          </w:tcPr>
          <w:p w:rsidR="000419B5" w:rsidRPr="008A7001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3" w:type="dxa"/>
            <w:vAlign w:val="center"/>
          </w:tcPr>
          <w:p w:rsidR="000419B5" w:rsidRPr="00D41D92" w:rsidRDefault="000419B5" w:rsidP="000419B5">
            <w:pPr>
              <w:jc w:val="right"/>
            </w:pPr>
            <w:r>
              <w:t>0</w:t>
            </w:r>
          </w:p>
        </w:tc>
      </w:tr>
      <w:tr w:rsidR="000419B5" w:rsidRPr="00D41D92" w:rsidTr="000419B5">
        <w:trPr>
          <w:trHeight w:val="127"/>
        </w:trPr>
        <w:tc>
          <w:tcPr>
            <w:tcW w:w="7200" w:type="dxa"/>
          </w:tcPr>
          <w:p w:rsidR="000419B5" w:rsidRPr="00D41D92" w:rsidRDefault="000419B5" w:rsidP="000419B5">
            <w:r w:rsidRPr="00D41D92">
              <w:t xml:space="preserve"> </w:t>
            </w:r>
            <w:proofErr w:type="spellStart"/>
            <w:r w:rsidRPr="00D41D92">
              <w:t>Чисельність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працівників</w:t>
            </w:r>
            <w:proofErr w:type="spellEnd"/>
            <w:r w:rsidRPr="00D41D92">
              <w:t xml:space="preserve"> на </w:t>
            </w:r>
            <w:proofErr w:type="spellStart"/>
            <w:r w:rsidRPr="00D41D92">
              <w:t>кінець</w:t>
            </w:r>
            <w:proofErr w:type="spellEnd"/>
            <w:r w:rsidRPr="00D41D92">
              <w:t xml:space="preserve"> </w:t>
            </w:r>
            <w:proofErr w:type="spellStart"/>
            <w:r w:rsidRPr="00D41D92">
              <w:t>періоду</w:t>
            </w:r>
            <w:proofErr w:type="spellEnd"/>
            <w:r w:rsidRPr="00D41D92">
              <w:t xml:space="preserve"> (</w:t>
            </w:r>
            <w:proofErr w:type="spellStart"/>
            <w:r w:rsidRPr="00D41D92">
              <w:t>осіб</w:t>
            </w:r>
            <w:proofErr w:type="spellEnd"/>
            <w:r w:rsidRPr="00D41D92">
              <w:t>)</w:t>
            </w:r>
          </w:p>
        </w:tc>
        <w:tc>
          <w:tcPr>
            <w:tcW w:w="1368" w:type="dxa"/>
            <w:vAlign w:val="center"/>
          </w:tcPr>
          <w:p w:rsidR="000419B5" w:rsidRPr="0026669A" w:rsidRDefault="000419B5" w:rsidP="000419B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463" w:type="dxa"/>
            <w:vAlign w:val="center"/>
          </w:tcPr>
          <w:p w:rsidR="000419B5" w:rsidRPr="006863D7" w:rsidRDefault="000419B5" w:rsidP="000419B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</w:tr>
    </w:tbl>
    <w:p w:rsidR="00D37F2D" w:rsidRPr="00E4121E" w:rsidRDefault="00D37F2D" w:rsidP="00341F3D">
      <w:pPr>
        <w:jc w:val="both"/>
        <w:rPr>
          <w:sz w:val="24"/>
          <w:szCs w:val="24"/>
          <w:lang w:val="uk-UA"/>
        </w:rPr>
      </w:pPr>
    </w:p>
    <w:p w:rsidR="00D37F2D" w:rsidRPr="00E4121E" w:rsidRDefault="00D37F2D" w:rsidP="00341F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E4121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 наслідками проведеної перевірки Ревізійна комісія підготували р</w:t>
      </w:r>
      <w:r w:rsidRPr="00E4121E">
        <w:rPr>
          <w:sz w:val="24"/>
          <w:szCs w:val="24"/>
          <w:lang w:val="uk-UA"/>
        </w:rPr>
        <w:t>екомендації для органів товариства</w:t>
      </w:r>
      <w:r>
        <w:rPr>
          <w:sz w:val="24"/>
          <w:szCs w:val="24"/>
          <w:lang w:val="uk-UA"/>
        </w:rPr>
        <w:t>:</w:t>
      </w:r>
      <w:r w:rsidR="000419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реструктурувати </w:t>
      </w:r>
      <w:r w:rsidRPr="00E4121E">
        <w:rPr>
          <w:sz w:val="24"/>
          <w:szCs w:val="24"/>
          <w:lang w:val="uk-UA"/>
        </w:rPr>
        <w:t>дебіто</w:t>
      </w:r>
      <w:r>
        <w:rPr>
          <w:sz w:val="24"/>
          <w:szCs w:val="24"/>
          <w:lang w:val="uk-UA"/>
        </w:rPr>
        <w:t>рську заборгованість Товариства, збільшити обсяги діяльності Товариства. Рекомендується залучення довгострокових інвестиції, але лише за наявності чіткого розуміння планів та перспектив їх використання.</w:t>
      </w:r>
    </w:p>
    <w:p w:rsidR="00D37F2D" w:rsidRPr="00CE5615" w:rsidRDefault="00D37F2D" w:rsidP="00341F3D">
      <w:pPr>
        <w:ind w:firstLine="851"/>
        <w:jc w:val="both"/>
        <w:rPr>
          <w:sz w:val="24"/>
          <w:szCs w:val="24"/>
          <w:lang w:val="uk-UA"/>
        </w:rPr>
      </w:pPr>
    </w:p>
    <w:p w:rsidR="00D37F2D" w:rsidRPr="00CE5615" w:rsidRDefault="00D37F2D" w:rsidP="00341F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Pr="00CE5615">
        <w:rPr>
          <w:sz w:val="24"/>
          <w:szCs w:val="24"/>
          <w:lang w:val="uk-UA"/>
        </w:rPr>
        <w:t xml:space="preserve">. Фактів порушення встановленого нормативно-правовими актами України порядку ведення бухгалтерського обліку та надання фінансової звітності, а також здійснення фінансово-господарської діяльності </w:t>
      </w:r>
      <w:r>
        <w:rPr>
          <w:sz w:val="24"/>
          <w:szCs w:val="24"/>
          <w:lang w:val="uk-UA"/>
        </w:rPr>
        <w:t>протягом 201</w:t>
      </w:r>
      <w:r w:rsidR="00587320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року Ревізійною комісією </w:t>
      </w:r>
      <w:r w:rsidRPr="00CE5615">
        <w:rPr>
          <w:sz w:val="24"/>
          <w:szCs w:val="24"/>
          <w:lang w:val="uk-UA"/>
        </w:rPr>
        <w:t>не виявлено.</w:t>
      </w:r>
    </w:p>
    <w:p w:rsidR="00D37F2D" w:rsidRPr="00CE5615" w:rsidRDefault="00D37F2D" w:rsidP="00341F3D">
      <w:pPr>
        <w:rPr>
          <w:sz w:val="24"/>
          <w:szCs w:val="24"/>
          <w:lang w:val="uk-UA"/>
        </w:rPr>
      </w:pPr>
    </w:p>
    <w:p w:rsidR="00587320" w:rsidRPr="00587320" w:rsidRDefault="00587320" w:rsidP="00341F3D">
      <w:pPr>
        <w:rPr>
          <w:sz w:val="24"/>
          <w:szCs w:val="24"/>
          <w:lang w:val="uk-UA"/>
        </w:rPr>
      </w:pPr>
    </w:p>
    <w:p w:rsidR="00587320" w:rsidRDefault="00587320" w:rsidP="00341F3D">
      <w:pPr>
        <w:rPr>
          <w:sz w:val="24"/>
          <w:szCs w:val="24"/>
        </w:rPr>
      </w:pPr>
    </w:p>
    <w:p w:rsidR="00587320" w:rsidRDefault="00587320" w:rsidP="00341F3D">
      <w:pPr>
        <w:rPr>
          <w:sz w:val="24"/>
          <w:szCs w:val="24"/>
        </w:rPr>
      </w:pPr>
    </w:p>
    <w:p w:rsidR="00D37F2D" w:rsidRPr="00CE5615" w:rsidRDefault="00D37F2D" w:rsidP="00341F3D">
      <w:pPr>
        <w:rPr>
          <w:sz w:val="24"/>
          <w:szCs w:val="24"/>
          <w:lang w:val="uk-UA"/>
        </w:rPr>
      </w:pPr>
      <w:r w:rsidRPr="00CE5615">
        <w:rPr>
          <w:sz w:val="24"/>
          <w:szCs w:val="24"/>
        </w:rPr>
        <w:t>Голов</w:t>
      </w:r>
      <w:r w:rsidRPr="00CE5615">
        <w:rPr>
          <w:sz w:val="24"/>
          <w:szCs w:val="24"/>
          <w:lang w:val="uk-UA"/>
        </w:rPr>
        <w:t>а</w:t>
      </w:r>
      <w:r w:rsidRPr="00CE5615">
        <w:rPr>
          <w:sz w:val="24"/>
          <w:szCs w:val="24"/>
        </w:rPr>
        <w:t xml:space="preserve"> </w:t>
      </w:r>
      <w:proofErr w:type="spellStart"/>
      <w:r w:rsidRPr="00CE5615">
        <w:rPr>
          <w:sz w:val="24"/>
          <w:szCs w:val="24"/>
        </w:rPr>
        <w:t>Ревізійної</w:t>
      </w:r>
      <w:proofErr w:type="spellEnd"/>
      <w:r w:rsidRPr="00CE5615">
        <w:rPr>
          <w:sz w:val="24"/>
          <w:szCs w:val="24"/>
        </w:rPr>
        <w:t xml:space="preserve"> </w:t>
      </w:r>
      <w:proofErr w:type="spellStart"/>
      <w:r w:rsidRPr="00CE5615">
        <w:rPr>
          <w:sz w:val="24"/>
          <w:szCs w:val="24"/>
        </w:rPr>
        <w:t>комісії</w:t>
      </w:r>
      <w:proofErr w:type="spellEnd"/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="00587320">
        <w:rPr>
          <w:sz w:val="24"/>
          <w:szCs w:val="24"/>
          <w:lang w:val="uk-UA"/>
        </w:rPr>
        <w:t>В.М.</w:t>
      </w:r>
      <w:r w:rsidR="00427971">
        <w:rPr>
          <w:sz w:val="24"/>
          <w:szCs w:val="24"/>
          <w:lang w:val="uk-UA"/>
        </w:rPr>
        <w:t xml:space="preserve"> </w:t>
      </w:r>
      <w:r w:rsidR="00587320" w:rsidRPr="00587320">
        <w:rPr>
          <w:sz w:val="24"/>
          <w:szCs w:val="24"/>
          <w:lang w:val="uk-UA"/>
        </w:rPr>
        <w:t>Нечай</w:t>
      </w:r>
      <w:bookmarkStart w:id="0" w:name="_GoBack"/>
      <w:bookmarkEnd w:id="0"/>
    </w:p>
    <w:p w:rsidR="000419B5" w:rsidRDefault="000419B5" w:rsidP="00341F3D">
      <w:pPr>
        <w:rPr>
          <w:sz w:val="24"/>
          <w:szCs w:val="24"/>
          <w:lang w:val="uk-UA"/>
        </w:rPr>
      </w:pPr>
    </w:p>
    <w:p w:rsidR="00D37F2D" w:rsidRPr="00CE5615" w:rsidRDefault="00D37F2D" w:rsidP="00341F3D">
      <w:pPr>
        <w:rPr>
          <w:sz w:val="24"/>
          <w:szCs w:val="24"/>
          <w:lang w:val="uk-UA"/>
        </w:rPr>
      </w:pPr>
      <w:r w:rsidRPr="00CE5615">
        <w:rPr>
          <w:sz w:val="24"/>
          <w:szCs w:val="24"/>
          <w:lang w:val="uk-UA"/>
        </w:rPr>
        <w:t>Член Ревізійної комісії</w:t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="00587320">
        <w:rPr>
          <w:sz w:val="24"/>
          <w:szCs w:val="24"/>
          <w:lang w:val="uk-UA"/>
        </w:rPr>
        <w:t>В.М. Новіков</w:t>
      </w:r>
    </w:p>
    <w:p w:rsidR="000419B5" w:rsidRDefault="000419B5" w:rsidP="00341F3D">
      <w:pPr>
        <w:rPr>
          <w:sz w:val="24"/>
          <w:szCs w:val="24"/>
          <w:lang w:val="uk-UA"/>
        </w:rPr>
      </w:pPr>
    </w:p>
    <w:p w:rsidR="00361A7B" w:rsidRPr="00835E1D" w:rsidRDefault="00D37F2D" w:rsidP="00587320">
      <w:pPr>
        <w:rPr>
          <w:lang w:val="uk-UA"/>
        </w:rPr>
      </w:pPr>
      <w:r w:rsidRPr="00CE5615">
        <w:rPr>
          <w:sz w:val="24"/>
          <w:szCs w:val="24"/>
          <w:lang w:val="uk-UA"/>
        </w:rPr>
        <w:t>Член Ревізійної комісії</w:t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Pr="00CE5615">
        <w:rPr>
          <w:sz w:val="24"/>
          <w:szCs w:val="24"/>
          <w:lang w:val="uk-UA"/>
        </w:rPr>
        <w:tab/>
      </w:r>
      <w:r w:rsidR="00587320">
        <w:rPr>
          <w:sz w:val="24"/>
          <w:szCs w:val="24"/>
          <w:lang w:val="uk-UA"/>
        </w:rPr>
        <w:t xml:space="preserve">С.О. </w:t>
      </w:r>
      <w:r w:rsidR="00587320" w:rsidRPr="00587320">
        <w:rPr>
          <w:sz w:val="24"/>
          <w:szCs w:val="24"/>
          <w:lang w:val="uk-UA"/>
        </w:rPr>
        <w:t xml:space="preserve">Погорілий </w:t>
      </w:r>
    </w:p>
    <w:sectPr w:rsidR="00361A7B" w:rsidRPr="00835E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1673"/>
    <w:multiLevelType w:val="hybridMultilevel"/>
    <w:tmpl w:val="E6F4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A2CC5"/>
    <w:multiLevelType w:val="hybridMultilevel"/>
    <w:tmpl w:val="A0B82A98"/>
    <w:lvl w:ilvl="0" w:tplc="95F417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03DD3"/>
    <w:multiLevelType w:val="hybridMultilevel"/>
    <w:tmpl w:val="2B9E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1D"/>
    <w:rsid w:val="000419B5"/>
    <w:rsid w:val="0014409A"/>
    <w:rsid w:val="002C4D67"/>
    <w:rsid w:val="00341F3D"/>
    <w:rsid w:val="00361A7B"/>
    <w:rsid w:val="00427971"/>
    <w:rsid w:val="00587320"/>
    <w:rsid w:val="00835E1D"/>
    <w:rsid w:val="00A84617"/>
    <w:rsid w:val="00AF257C"/>
    <w:rsid w:val="00D37F2D"/>
    <w:rsid w:val="00EE4AEF"/>
    <w:rsid w:val="00F23F7A"/>
    <w:rsid w:val="00F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1B0D-C6E0-4297-96ED-5C50E10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35E1D"/>
    <w:rPr>
      <w:b/>
      <w:bCs/>
      <w:color w:val="943634"/>
      <w:spacing w:val="5"/>
    </w:rPr>
  </w:style>
  <w:style w:type="paragraph" w:styleId="a4">
    <w:name w:val="List Paragraph"/>
    <w:basedOn w:val="a"/>
    <w:uiPriority w:val="34"/>
    <w:qFormat/>
    <w:rsid w:val="002C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3059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Avangardco IPL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 Віталій Васильович</dc:creator>
  <cp:keywords/>
  <dc:description/>
  <cp:lastModifiedBy>Дячук Віталій Васильович</cp:lastModifiedBy>
  <cp:revision>1</cp:revision>
  <dcterms:created xsi:type="dcterms:W3CDTF">2017-03-16T09:01:00Z</dcterms:created>
  <dcterms:modified xsi:type="dcterms:W3CDTF">2017-03-16T09:50:00Z</dcterms:modified>
</cp:coreProperties>
</file>